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18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Содержание Программы:</w:t>
      </w:r>
    </w:p>
    <w:p>
      <w:pPr>
        <w:spacing w:before="18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Ind w:w="675" w:type="dxa"/>
      </w:tblPr>
      <w:tblGrid>
        <w:gridCol w:w="675"/>
        <w:gridCol w:w="7263"/>
        <w:gridCol w:w="813"/>
      </w:tblGrid>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1.</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Паспорт программы развития муниципального бюджетного учреждения дополнительного образования детей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Детско-юношеская спортивная школа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Олимп</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Исполнительного комитета Мамадышского муниципального района на 2016-2021 годы</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180" w:after="0" w:line="240"/>
              <w:ind w:right="0" w:left="0" w:firstLine="0"/>
              <w:jc w:val="right"/>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3</w:t>
            </w:r>
          </w:p>
        </w:tc>
      </w:tr>
      <w:tr>
        <w:trPr>
          <w:trHeight w:val="1168" w:hRule="auto"/>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2.</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Цель Программы развития. Основные задачи Программы. Ожидаемые конечные результаты и целевые показатели Программы</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7 </w:t>
            </w:r>
          </w:p>
        </w:tc>
      </w:tr>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Основания для разработки Программы</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8</w:t>
            </w:r>
          </w:p>
        </w:tc>
      </w:tr>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4.</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Информационно-аналитическая справка о деятельности МБУ ДОД ДЮСШ</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Принципы организации образовательной среды</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9</w:t>
            </w:r>
          </w:p>
        </w:tc>
      </w:tr>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5.</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Приоритетные направления Программы развития</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11</w:t>
            </w:r>
          </w:p>
        </w:tc>
      </w:tr>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6.</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Этапы реализации Программы развития</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13</w:t>
            </w:r>
          </w:p>
        </w:tc>
      </w:tr>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7.</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План и система программных мероприятий на 2016- 2021 годы</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13</w:t>
            </w:r>
          </w:p>
        </w:tc>
      </w:tr>
      <w:tr>
        <w:trPr>
          <w:trHeight w:val="1" w:hRule="atLeast"/>
          <w:jc w:val="left"/>
        </w:trPr>
        <w:tc>
          <w:tcPr>
            <w:tcW w:w="67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8.</w:t>
            </w:r>
          </w:p>
        </w:tc>
        <w:tc>
          <w:tcPr>
            <w:tcW w:w="726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both"/>
              <w:rPr>
                <w:spacing w:val="0"/>
                <w:position w:val="0"/>
              </w:rPr>
            </w:pPr>
            <w:r>
              <w:rPr>
                <w:rFonts w:ascii="Times New Roman" w:hAnsi="Times New Roman" w:cs="Times New Roman" w:eastAsia="Times New Roman"/>
                <w:color w:val="000000"/>
                <w:spacing w:val="0"/>
                <w:position w:val="0"/>
                <w:sz w:val="28"/>
                <w:shd w:fill="auto" w:val="clear"/>
              </w:rPr>
              <w:t xml:space="preserve">Механизм реализации Программы развития</w:t>
            </w:r>
          </w:p>
        </w:tc>
        <w:tc>
          <w:tcPr>
            <w:tcW w:w="81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180" w:after="0" w:line="240"/>
              <w:ind w:right="0" w:left="0" w:firstLine="0"/>
              <w:jc w:val="right"/>
              <w:rPr>
                <w:spacing w:val="0"/>
                <w:position w:val="0"/>
              </w:rPr>
            </w:pPr>
            <w:r>
              <w:rPr>
                <w:rFonts w:ascii="Times New Roman" w:hAnsi="Times New Roman" w:cs="Times New Roman" w:eastAsia="Times New Roman"/>
                <w:color w:val="000000"/>
                <w:spacing w:val="0"/>
                <w:position w:val="0"/>
                <w:sz w:val="28"/>
                <w:shd w:fill="auto" w:val="clear"/>
              </w:rPr>
              <w:t xml:space="preserve">22</w:t>
            </w:r>
          </w:p>
        </w:tc>
      </w:tr>
    </w:tbl>
    <w:p>
      <w:pPr>
        <w:spacing w:before="18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18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Паспорт программы развития</w:t>
      </w: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муниципального</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бюджетного</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учреждения дополнительного образования детей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Детско-юношеская спортивная школа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Олимп</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Исполнительного комитета Мамадышского муниципального района </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на 2016-2021 годы.</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p>
    <w:tbl>
      <w:tblPr>
        <w:tblInd w:w="15" w:type="dxa"/>
      </w:tblPr>
      <w:tblGrid>
        <w:gridCol w:w="674"/>
        <w:gridCol w:w="2254"/>
        <w:gridCol w:w="6663"/>
      </w:tblGrid>
      <w:tr>
        <w:trPr>
          <w:trHeight w:val="1" w:hRule="atLeast"/>
          <w:jc w:val="left"/>
        </w:trPr>
        <w:tc>
          <w:tcPr>
            <w:tcW w:w="674"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1.</w:t>
            </w:r>
          </w:p>
        </w:tc>
        <w:tc>
          <w:tcPr>
            <w:tcW w:w="2254"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Наименование программы</w:t>
            </w:r>
          </w:p>
        </w:tc>
        <w:tc>
          <w:tcPr>
            <w:tcW w:w="6663"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tabs>
                <w:tab w:val="left" w:pos="6447" w:leader="none"/>
                <w:tab w:val="left" w:pos="6555" w:leader="none"/>
              </w:tabs>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Программа развития </w:t>
            </w:r>
            <w:r>
              <w:rPr>
                <w:rFonts w:ascii="Times New Roman" w:hAnsi="Times New Roman" w:cs="Times New Roman" w:eastAsia="Times New Roman"/>
                <w:color w:val="auto"/>
                <w:spacing w:val="0"/>
                <w:position w:val="0"/>
                <w:sz w:val="28"/>
                <w:shd w:fill="auto" w:val="clear"/>
              </w:rPr>
              <w:t xml:space="preserve">муниципального</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бюджетного</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учреждения дополнительного образования детей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Детско-юношеская спортивная школа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Олимп</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Исполнительного комитета Мамадышского муниципального района </w:t>
            </w:r>
            <w:r>
              <w:rPr>
                <w:rFonts w:ascii="Times New Roman" w:hAnsi="Times New Roman" w:cs="Times New Roman" w:eastAsia="Times New Roman"/>
                <w:color w:val="000000"/>
                <w:spacing w:val="0"/>
                <w:position w:val="0"/>
                <w:sz w:val="28"/>
                <w:shd w:fill="auto" w:val="clear"/>
              </w:rPr>
              <w:t xml:space="preserve">на 2016-2021 годы.</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Основания для разработки Программы развития</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Конвенция о правах ребёнка;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Конституция Российской Федерации;</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Федеральный закон от 29 декабря 2012 года №273-ФЗ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Об образовании в Российской Федерации</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Государственная программа Российской Федерации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Развитие образования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на 2013-2020 годы, утверждена распоряжением Правительства РФ № 2148-р от 22.11.2012);</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Концепция федеральной целевой программы развития образования на</w:t>
            </w:r>
            <w:r>
              <w:rPr>
                <w:rFonts w:ascii="Times New Roman" w:hAnsi="Times New Roman" w:cs="Times New Roman" w:eastAsia="Times New Roman"/>
                <w:color w:val="000000"/>
                <w:spacing w:val="0"/>
                <w:position w:val="0"/>
                <w:sz w:val="28"/>
                <w:shd w:fill="auto" w:val="clear"/>
              </w:rPr>
              <w:t xml:space="preserve"> 2016-2020 </w:t>
            </w:r>
            <w:r>
              <w:rPr>
                <w:rFonts w:ascii="Times New Roman" w:hAnsi="Times New Roman" w:cs="Times New Roman" w:eastAsia="Times New Roman"/>
                <w:color w:val="000000"/>
                <w:spacing w:val="0"/>
                <w:position w:val="0"/>
                <w:sz w:val="28"/>
                <w:shd w:fill="auto" w:val="clear"/>
              </w:rPr>
              <w:t xml:space="preserve">годы</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утверждена Распоряжением Правительства Российской Федерации от</w:t>
            </w:r>
            <w:r>
              <w:rPr>
                <w:rFonts w:ascii="Times New Roman" w:hAnsi="Times New Roman" w:cs="Times New Roman" w:eastAsia="Times New Roman"/>
                <w:color w:val="000000"/>
                <w:spacing w:val="0"/>
                <w:position w:val="0"/>
                <w:sz w:val="28"/>
                <w:shd w:fill="auto" w:val="clear"/>
              </w:rPr>
              <w:t xml:space="preserve"> 29 </w:t>
            </w:r>
            <w:r>
              <w:rPr>
                <w:rFonts w:ascii="Times New Roman" w:hAnsi="Times New Roman" w:cs="Times New Roman" w:eastAsia="Times New Roman"/>
                <w:color w:val="000000"/>
                <w:spacing w:val="0"/>
                <w:position w:val="0"/>
                <w:sz w:val="28"/>
                <w:shd w:fill="auto" w:val="clear"/>
              </w:rPr>
              <w:t xml:space="preserve">декабря 2014</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г. №</w:t>
            </w:r>
            <w:r>
              <w:rPr>
                <w:rFonts w:ascii="Times New Roman" w:hAnsi="Times New Roman" w:cs="Times New Roman" w:eastAsia="Times New Roman"/>
                <w:color w:val="000000"/>
                <w:spacing w:val="0"/>
                <w:position w:val="0"/>
                <w:sz w:val="28"/>
                <w:shd w:fill="auto" w:val="clear"/>
              </w:rPr>
              <w:t xml:space="preserve"> 2765-</w:t>
            </w:r>
            <w:r>
              <w:rPr>
                <w:rFonts w:ascii="Times New Roman" w:hAnsi="Times New Roman" w:cs="Times New Roman" w:eastAsia="Times New Roman"/>
                <w:color w:val="000000"/>
                <w:spacing w:val="0"/>
                <w:position w:val="0"/>
                <w:sz w:val="28"/>
                <w:shd w:fill="auto" w:val="clear"/>
              </w:rPr>
              <w:t xml:space="preserve">р.</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Федеральные стандарты спортивной подготовки по видам спорта, утверждены приказами Министерства спорта РФ;</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Концепция духовно- нравственного развития и воспитание личности гражданина России.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Разработчики Программы</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8"/>
                <w:shd w:fill="auto" w:val="clear"/>
              </w:rPr>
              <w:t xml:space="preserve">администрация и педагогический коллектив ДЮСШ</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4.</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Исполнители Программы</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коллектив школы, обучающиеся и родительская общественность.</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5.</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Где рассмотрена программа</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Программа рассмотрена педагогическим советом. Протокол №1 от 16 августа 2016 г.</w:t>
            </w:r>
            <w:r>
              <w:rPr>
                <w:rFonts w:ascii="Times New Roman" w:hAnsi="Times New Roman" w:cs="Times New Roman" w:eastAsia="Times New Roman"/>
                <w:color w:val="000000"/>
                <w:spacing w:val="0"/>
                <w:position w:val="0"/>
                <w:sz w:val="28"/>
                <w:shd w:fill="auto" w:val="clear"/>
              </w:rPr>
              <w:t xml:space="preserve">  </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6.</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Цель и задачи</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u w:val="single"/>
                <w:shd w:fill="auto" w:val="clear"/>
              </w:rPr>
              <w:t xml:space="preserve">Цель:</w:t>
            </w:r>
            <w:r>
              <w:rPr>
                <w:rFonts w:ascii="Times New Roman" w:hAnsi="Times New Roman" w:cs="Times New Roman" w:eastAsia="Times New Roman"/>
                <w:color w:val="000000"/>
                <w:spacing w:val="0"/>
                <w:position w:val="0"/>
                <w:sz w:val="28"/>
                <w:shd w:fill="auto" w:val="clear"/>
              </w:rPr>
              <w:t xml:space="preserve"> построение новой модели организации образовательного процесса на основе личностно-ориентированного подхода в обучении и воспитании, способной обеспечить каждому ребёнку высокое качество образования, адекватное социальным и экономическим потребностям общества и его индивидуальным талантам, духовно- нравственное развитие и воспитание качеств инициативной творческой личности в современной инфраструктуре и здоровьесберегающей среде учреждения.</w:t>
            </w:r>
          </w:p>
          <w:p>
            <w:pPr>
              <w:spacing w:before="0" w:after="0" w:line="240"/>
              <w:ind w:right="0" w:left="0" w:firstLine="0"/>
              <w:jc w:val="left"/>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color w:val="000000"/>
                <w:spacing w:val="0"/>
                <w:position w:val="0"/>
                <w:sz w:val="28"/>
                <w:u w:val="single"/>
                <w:shd w:fill="auto" w:val="clear"/>
              </w:rPr>
              <w:t xml:space="preserve">Достижение этой цели требует решения следующих задач:</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обеспечить качественный переход школы на выполнение новых федеральных стандартов спортивной подготовки, на основе накопленного опыта создания высокоздоровьесберегающей образовательной среды, обеспечивающей инновационные изменения в организации и содержании</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тренировочного процесса;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отработать различные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модели индивидуального образования обучающихся, учитывая специфику дополнительного образования и здоровьесберегающую среду школы;</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разработать систему необходимых условий, обеспечивающих преемственность поддержки и развития детей</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 развитыми образовательными потребностями на различных стадиях образовательной деятельности, с учётом спортивной направленности, в школьной, семейной и социальных средах;</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обеспечить высокий профессиональный уровень педагогических работников, условия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для эффективного</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выполнения профессиональных задач, повышение социальной значимости, престижа педагогического труда;</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обеспечить духовно- нравственное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патриотическое воспитание подрастающего поколения, формирование духовности, взаимоуважения, трудолюбия, гражданственности, патриотизма, ответственности, бережного отношения к природе и окружающей среде, рационального природопользования.</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7.</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Приоритетные направления Программы</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модернизация содержательных и технологических сторон образовательного и воспитательного процесса;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развитие профессиональной компетентности педагогического коллектива школы с учётом новых тенденций в образовании; изучение, обобщение и внедрение в практику передового педагогического опыта;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обновление нормативно-правового обеспечения тренировочного процесса спортивной школы, в соответствии с требованиями государственного стандарта и федеральными стандартами спортивной подготовки;</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совершенствование воспитательной системы ДЮСШ;</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взаимодействие с родителями (законными представителями) обучающихся, как разновидность социального партнёрства;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развитие материально-технической базы, в соответствии с ФССП;</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психолого-педагогическое сопровождение инновационной деятельности.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8.</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Этапы и сроки реализации Программы</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рассчитана на 5 лет: 2016-2021г.г.</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первый этап-2016г.:</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анализ работы спортивной школы, изучение и формирование нормативно-правовой базы деятельности школы в связи с новыми ФССП и требованиями, подбор инструментария для реализации Программы.;</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второй этап – 2017-2020г.г.: переход к устойчивой реализации новой модели организации современной образовательной среды и её содержания в рамках спортивной школы;</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третий этап- 2021г.: коррекция реализации программы развития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на основе мониторинга эффективности работы по её внедрению, разработка стратегии дальнейшего развития образовательного учреждения.</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9.</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Ожидаемые результаты реализации Программы</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качественного образования в соответствии с федеральными государственными требованиями и федеральными стандартами спортивной подготовки по видам спорта;</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проведение тренировочной и воспитательной деятельности работы среди детей и подростков, направленной на спортивное совершенствование, укрепление их</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здоровья и всестороннее физическое развитие;</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предоставление детям и подросткам равных условий для обучения в спортивной школе, а имеющим перспективу - необходимых условий для их спортивного совершенствования;</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способствование формированию здорового образа жизни, развитию физических, интеллектуальных, нравственных качеств, достижению высокого уровня спортивных результатов сообразно способностям.</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10.</w:t>
            </w:r>
          </w:p>
        </w:tc>
        <w:tc>
          <w:tcPr>
            <w:tcW w:w="225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Система организации управления и контроля за ходом выполнения Программы</w:t>
            </w:r>
          </w:p>
        </w:tc>
        <w:tc>
          <w:tcPr>
            <w:tcW w:w="666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Постоянный контроль выполнения Программы осуществляет 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 ежегодным подведением итогом и анализом выполненных действий на итоговом педагогическом совете.</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Результаты контроля ежегодно публикуются на сайте ДЮСШ с возможностью представления на научно- практических конференциях, в публичных докладах, семинарах различного уровня, дискуссионных площадках.</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Цель Программы развития</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построение новой модели организации образовательного процесса на основе личностно-ориентированного подхода в обучении и воспитании, способной обеспечить каждому ребёнку высокое качество образования, адекватное социальным и экономическим потребностям общества и его индивидуальным талантам, духовно- нравственное развитие и воспитание качеств инициативной творческой личности в современной инфраструктуре и здоровьесберегающей среде учреждения.</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Основные задачи Программы</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обеспечить качественный переход школы на выполнение новых федеральных стандартов спортивной подготовки, на основе накопленного опыта создания высокоздоровьесберегающей образовательной среды, обеспечивающей инновационные изменения в организации и содержании тренировочного процесса;</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отработать различные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модели индивидуального образования обучающихся, учитывая специфику дополнительного образования и здоровьесберегающую среду школы;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разработать систему необходимых условий, обеспечивающих преемственность поддержки и развития детей</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 развитыми образовательными потребностями на различных стадиях образовательной деятельности, с учётом спортивной направленности, в школьной, семейной и социальных средах;</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обеспечить высокий профессиональный уровень педагогических работников, условия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для эффективного</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выполнения профессиональных задач, повышение социальной значимости, престижа педагогического труда;</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обеспечить духовно- нравственное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патриотическое воспитание подрастающего поколения, формирование духовности, взаимоуважения, трудолюбия, гражданственности. Патриотизма, ответственности, бережного отношения к природе и окружающей среде, рационального природопользования.</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Ожидаемые конечные результаты и целевые показатели Программы: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качественного образования в соответствии с федеральными государственными требованиями и федеральными стандартами спортивной подготовки по видам спорта;</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проведение тренировочной и воспитательной деятельности работы среди детей и подростков, направленной на спортивное совершенствование, укрепление их</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здоровья и всестороннее физическое развитие;</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предоставление детям и подросткам равных условий для обучения в спортивной школе, а имеющим перспективу - необходимых условий для их спортивного совершенствования;</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способствование формированию здорового образа жизни, развитию физических, интеллектуальных, нравственных качеств, достижению высокого уровня спортивных результатов сообразно способностям.</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Основания для разработки Программы</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Программа развития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на 2016- 2021 годы - нормативно-управленческий документ, характеризующий реальное состояние развития школы; достижения и проблемы; основные тенденции развития; главные цели, задачи и направления образования обучающихся, основные планируемые конечные результаты; критерии оценки выполнения данной программы.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развития муниципального бюджетного учреждения дополнительного образования детей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Детско-юношеская спортивная школа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Олимп</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Исполнительного комитета Мамадышского муниципального района на 2016-2021 годы</w:t>
      </w:r>
      <w:r>
        <w:rPr>
          <w:rFonts w:ascii="Times New Roman" w:hAnsi="Times New Roman" w:cs="Times New Roman" w:eastAsia="Times New Roman"/>
          <w:color w:val="000000"/>
          <w:spacing w:val="0"/>
          <w:position w:val="0"/>
          <w:sz w:val="28"/>
          <w:shd w:fill="auto" w:val="clear"/>
        </w:rPr>
        <w:t xml:space="preserve"> (далее Программа) разработана в соответствии с пунктом 13 Перечня поручений Президента Российской Федерации от 06 декабря 2010 года № Пр-3534, о разработке проектов перспективного развития для каждой школы.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Основными ориентирами Программы развития школы по реализации стратегии развития системы образования выступают формирование российской идентичности обучающихся, создание условий для сохранения, приумножения культурных</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духовных ценностей, рост качества социальных услуг по развитию семьи, обеспечение условий развития каждого ребёнка, понимание зависимости изменения качества человеческого ресурса от изменения качества образования;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становление открытой, гибкой</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доступной системы дополнительного образования Мамадышского района.</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Программа развития ДЮСШ представляет собой долгосрочный нормативно-правовой управленческий документ, характеризующий</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основные тенденции, главные цели, задачи и направления обучения, воспитания, развития обучающихся и особенности организации кадрового и методического обеспечения педагогического процесса и инновационных преобразований тренировочного процесса и инновационных преобразований учебно-воспитательной системы, основные планируемые конечные результаты и критерии. Программа, как проект перспективного развития школы призвана консолидировать усилия всех заинтересованных субъектов образовательного процесса и социального окружения школы для достижения цели Программы, определить ключевые направления инфраструктуры школьной образовательной среды, совершенствование педагогического коллектива школы.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основу реализации Программы положены методы, сочетающие управленческую целенаправленность деятельности администрации и творческие инициативы со стороны сотрудников. Выполнение цели и задач происходит в рамках реализации  дополнительных программ и программ спортивной подготовки, каждая из которых представляет собой комплекс взаимосвязанных задач и мероприятий, нацеленных на решение проблем отдельного направления образовательной спортивной деятельности. Инициативы со стороны педагогического коллектива по реализации Программы оформляются как педагогические проекты. Результатом реализации программ является повышение качества работы школы, результатом реализации инициативных проектов - инновационные продукты, которые школа может распространять в системе образования.</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Информационно-аналитическая справка о деятельности школы.</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Принципы организации образовательной среды.</w:t>
      </w:r>
      <w:r>
        <w:rPr>
          <w:rFonts w:ascii="Times New Roman" w:hAnsi="Times New Roman" w:cs="Times New Roman" w:eastAsia="Times New Roman"/>
          <w:b/>
          <w:color w:val="000000"/>
          <w:spacing w:val="0"/>
          <w:position w:val="0"/>
          <w:sz w:val="28"/>
          <w:shd w:fill="auto" w:val="clear"/>
        </w:rPr>
        <w:t xml:space="preserve"> </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выполняет следующие функции:</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осуществляет работу по привлечению обучающихся к систематическим занятиям спортом;</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проводит тренировочную и воспитательную работу среди детей и подростков, направленную на спортивное совершенствование, укрепление их здоровья и всестороннее физическое развитие;</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предоставляет детям и подросткам равные условия для обучения в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 талантливым и перспективным обучающимся     </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необходимые условия для их спортивного совершенствования;</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способствует формированию здорового образа жизни, развитию физических, интеллектуальных, нравственных способностей, достижению уровня спортивных достижений сообразно способностям;</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оказывает всестороннюю помощь образовательным учреждениям Мамадышского района в организации физкультурно-спортивной работы;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повышает уровень физической подготовленности и спортивных результатов с учётом индивидуальных особенностей и требований программы;</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воспитывает у обучающихся гражданственность, патриотизм, целеустремлённость, трудолюбие, дисциплину, уважение к правам и свободам каждого человека, любви и бережному отношению к окружающей природе;</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ведёт приносящую доход деятельность, осуществляемую ради укрепления материально-технической базы и совершенствования тренировочного процесса.</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организует работу с детьми и подростками в течении всего календарного года. Приём заявлений и зачисление обучающихся проводится до 20 сентября. Организация обучения строится в соответствии с учебным планом,  дополнительными общеразвивающими, предпрофессиональными программами и программами спортивной подготовки рассчитанными на 46 недель   учебно-тренировочных  занятий,  непосредственно  в  условиях  спортивной школы и дополнительно 6 недель  –  в условиях спортивно  -  оздоровительного лагеря, учебно-тренировочных сборов и (или) по индивидуальным планам.</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2016-2017 учебном году в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работает 6 отделений, по 6 видам спорта: футбол, волейбол, легкая атлетика, настольный теннис, гиревой спорт, плавание.</w:t>
      </w:r>
    </w:p>
    <w:p>
      <w:pPr>
        <w:spacing w:before="0" w:after="0" w:line="240"/>
        <w:ind w:right="0" w:left="0" w:firstLine="567"/>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Ind w:w="108" w:type="dxa"/>
      </w:tblPr>
      <w:tblGrid>
        <w:gridCol w:w="1701"/>
        <w:gridCol w:w="2313"/>
        <w:gridCol w:w="1867"/>
        <w:gridCol w:w="2406"/>
        <w:gridCol w:w="1284"/>
      </w:tblGrid>
      <w:tr>
        <w:trPr>
          <w:trHeight w:val="450" w:hRule="auto"/>
          <w:jc w:val="left"/>
        </w:trPr>
        <w:tc>
          <w:tcPr>
            <w:tcW w:w="1701" w:type="dxa"/>
            <w:vMerge w:val="restart"/>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Виды спорта</w:t>
            </w:r>
          </w:p>
        </w:tc>
        <w:tc>
          <w:tcPr>
            <w:tcW w:w="7870" w:type="dxa"/>
            <w:gridSpan w:val="4"/>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Численность занимающихся на этапах подготовки(чел.)</w:t>
            </w:r>
          </w:p>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 </w:t>
            </w:r>
          </w:p>
        </w:tc>
      </w:tr>
      <w:tr>
        <w:trPr>
          <w:trHeight w:val="375" w:hRule="auto"/>
          <w:jc w:val="left"/>
        </w:trPr>
        <w:tc>
          <w:tcPr>
            <w:tcW w:w="1701" w:type="dxa"/>
            <w:vMerge/>
            <w:tcBorders>
              <w:top w:val="single" w:color="000000" w:sz="8"/>
              <w:left w:val="single" w:color="000000" w:sz="8"/>
              <w:bottom w:val="single" w:color="000000" w:sz="8"/>
              <w:right w:val="single" w:color="000000" w:sz="8"/>
            </w:tcBorders>
            <w:shd w:color="000000" w:fill="ffffff" w:val="clear"/>
            <w:tcMar>
              <w:left w:w="108" w:type="dxa"/>
              <w:right w:w="108"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Спортивно-оздоровительный </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Начальной подготовки</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Тренировочной подготовки</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всего</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Волейбол</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6</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Футбол</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6</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Лёгкая атлетика</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5</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7</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Настольный теннис</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4</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8</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Гиревой спорт</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6</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Плавание</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7</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7</w:t>
            </w:r>
          </w:p>
        </w:tc>
      </w:tr>
      <w:tr>
        <w:trPr>
          <w:trHeight w:val="1" w:hRule="atLeast"/>
          <w:jc w:val="left"/>
        </w:trPr>
        <w:tc>
          <w:tcPr>
            <w:tcW w:w="1701"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ИТОГО</w:t>
            </w:r>
          </w:p>
        </w:tc>
        <w:tc>
          <w:tcPr>
            <w:tcW w:w="231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15</w:t>
            </w:r>
          </w:p>
        </w:tc>
        <w:tc>
          <w:tcPr>
            <w:tcW w:w="186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13</w:t>
            </w:r>
          </w:p>
        </w:tc>
        <w:tc>
          <w:tcPr>
            <w:tcW w:w="240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12</w:t>
            </w:r>
          </w:p>
        </w:tc>
        <w:tc>
          <w:tcPr>
            <w:tcW w:w="128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40</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Общее количество групп - 40, обучающихся - 551.</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Общее количество тренеров-преподавателей - 13 человек, из них штатных – 8, совместитель – 5. Имеют высшую квалификационную категорию - 1, первую - 3.</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Тренеры-преподаватели, согласно графика проходят курсы повышения квалификации, а также в установленные сроки аттестации.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Воспитательная работа в отделениях</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ДЮСШ строится в тесном взаимодействии с родителями на основе социального партнёрства. Проводятся родительские собрания, индивидуальные беседы с родителями обучающихся.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Пропаганда спорта и физической культуры осуществляется путём сотрудничества со средствами массовой информации, через сеть интернет, стенды наглядной агитации, чествованием, награждением и вручением квалификационных книжек, сертификатов об окончании ДЮСШ.</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настоящее время в оперативном управлении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находится спортивно-оздоровительный комплекс,</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котором расположен  спортивный зал 26,7 х 14,60, разделённый на две площадки (для волейбола и для баскетбола/футбола). Тренажёрный зал </w:t>
      </w:r>
      <w:r>
        <w:rPr>
          <w:rFonts w:ascii="Times New Roman" w:hAnsi="Times New Roman" w:cs="Times New Roman" w:eastAsia="Times New Roman"/>
          <w:color w:val="auto"/>
          <w:spacing w:val="0"/>
          <w:position w:val="0"/>
          <w:sz w:val="28"/>
          <w:shd w:fill="auto" w:val="clear"/>
        </w:rPr>
        <w:t xml:space="preserve">19,75 х 14,67</w:t>
      </w:r>
      <w:r>
        <w:rPr>
          <w:rFonts w:ascii="Times New Roman" w:hAnsi="Times New Roman" w:cs="Times New Roman" w:eastAsia="Times New Roman"/>
          <w:color w:val="000000"/>
          <w:spacing w:val="0"/>
          <w:position w:val="0"/>
          <w:sz w:val="28"/>
          <w:shd w:fill="auto" w:val="clear"/>
        </w:rPr>
        <w:t xml:space="preserve">, ш</w:t>
      </w:r>
      <w:r>
        <w:rPr>
          <w:rFonts w:ascii="Times New Roman" w:hAnsi="Times New Roman" w:cs="Times New Roman" w:eastAsia="Times New Roman"/>
          <w:color w:val="auto"/>
          <w:spacing w:val="0"/>
          <w:position w:val="0"/>
          <w:sz w:val="28"/>
          <w:shd w:fill="auto" w:val="clear"/>
        </w:rPr>
        <w:t xml:space="preserve">ахматный  зал 5,9 х 6,35, боксерский зал 9,50 х 6,35, гимнастический зал 8,40 х 6,7, бассейн 17,55 х 13 м, </w:t>
      </w:r>
      <w:r>
        <w:rPr>
          <w:rFonts w:ascii="Times New Roman" w:hAnsi="Times New Roman" w:cs="Times New Roman" w:eastAsia="Times New Roman"/>
          <w:color w:val="000000"/>
          <w:spacing w:val="0"/>
          <w:position w:val="0"/>
          <w:sz w:val="28"/>
          <w:shd w:fill="auto" w:val="clear"/>
        </w:rPr>
        <w:t xml:space="preserve">рядом со спортивным комплексом, находится ф</w:t>
      </w:r>
      <w:r>
        <w:rPr>
          <w:rFonts w:ascii="Times New Roman" w:hAnsi="Times New Roman" w:cs="Times New Roman" w:eastAsia="Times New Roman"/>
          <w:color w:val="auto"/>
          <w:spacing w:val="0"/>
          <w:position w:val="0"/>
          <w:sz w:val="28"/>
          <w:shd w:fill="auto" w:val="clear"/>
        </w:rPr>
        <w:t xml:space="preserve">утбольное поле 90 х 45. Также у ДЮСШ имеются теннисный зал 12 х 24 и открытая теннисная площадка 40 х 28 асфальт на базе районного Дома культуры, волейбольная площадка 18 х 9.</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ДЮСШ организован контроль физического состояния обучающихся. Дважды в год обучающиеся проходят  медицинский осмотр в районной больнице. Приём обучающихся на отделения осуществляется на основании справок от педиатра, где указано, что ребенок здоров и может посещать выбранное отделение.</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основу образовательной программы ДЮСШ положены следующие принципы:</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гуманизация и демократизация образовательного процесса;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индивидуализация и создание ситуации успеха каждого ребёнка;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педагогика сотрудничества;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добровольный выбор ребёнком вида деятельности, тренера- преподавателя по интересам, со своими желаниями и потребностями.</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Приоритетные направления Программы</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 современной системе образования наблюдаются многочисленные трансформации, складывается её новый облик - новый образ образования, создание условий для интеграции общего и дополнительного образования. Главным средством качественного изменения тренировочного процесса может стать высокий профессионализм кадров, способных оперативно реагировать на изменяющиеся потребности социума, обладающих умением анализировать, проектировать свою деятельность и выбирать оптимальные, эффективные средства при организации учебного процесса. Успешность выпускника учреждения дополнительного образования во взрослой жизни связана не только с формальным уровнем образования - освоением образовательных стандартов, но и с приобретёнными компетенциями эффективно действовать в социуме. Быть профессионалом в своём деле, здоровой и органически развитой личностью, гражданином страны, её защитником, семьянином.</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Создание программы развития ДЮСШ, учитывающей эти особенности современного состояния общества - насущная потребность времени.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Развитие обязательный элемент деятельности образовательного учреждения, призванного с одной стороны реагировать на изменения социокультурной и экономической жизни общества, с другой решать вопросы создания привлекательного имиджа учреждения, эффективно действующего на рынке образовательных услуг.</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развития ДЮСШ</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определяет стратегию развития образовательной системы учреждения на 2016-2021г.г. Программа представляет собой непрерывную образовательную технологию, которая обеспечивает:</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для обучающихся ДЮСШ - приобретение практических навыков в спортивной деятельности, поддержание здорового образа жизни, формирование необходимых личностных качеств и социальных компетентностей;</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для педагогического коллектива - повышение профессионального уровня квалификации;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рамках дополнительного образования – высокую спортивную подготовленность и раннюю профориентацию.</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развития учреждения является: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социально-педагогической</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направлена на обеспечение прав личности на образование, социальную защищённость в современных условиях);</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межотраслевой</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объединяет усилия различных ведомств, общественных и государственных организаций, объединений</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деле образования);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организационно-педагогической</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создаёт условия для эффективной организации деятельности педагогического коллектива).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развития позволит:</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формировать образовательную политику учреждения;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определять основы нормативного и финансового обеспечения развития ДЮСШ;</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принимать нормативные акты, распорядительные документы, направленные на создание условий для развития учреждения, координирующие усилия различных структур и ведомств по вопросам образовательной деятельности учреждения.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Основными критериями эффективности развития ДЮСШ будут выступать:</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согласованность основных направлений и приоритетов развития, согласно Федерального закона от 29 декабря 2012 г. № 273-ФЗ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Об образовании в Российской Федерации</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Концепцией модернизации дополнительного образования</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реализация ДЮСШ дополнительных образовательных программ и программ спортивной подготовки, пользующихся спросом на рынке образовательных услуг;</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рост личностных достижений участников образовательного процесса;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ресурсное обеспечение Программы развития спортивной школы по следующим направлениям и объёмам:</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Укрепление материально- технической и производственной базы:</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спортивной школы спортивным инвентарём и оборудованием.</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Кадровое обеспечение:</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улучшение качественного состава тренеров-преподавателей;</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прохождение аттестации педагогическими кадрами;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роста спортивных показателей обучающихся;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Финансовое обеспечение и источники: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бюджетного и внебюджетного финансирования на развитие материально-технической базы;</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бюджетного финансирования на повышение квалификации кадров;</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бюджетного и внебюджетного финансирования на оздоровительную работу;</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бюджетного и внебюджетного финансирования спортивно-массовых мероприятий;</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бюджетного и внебюджетного финансирования на участие в областных, региональных и всероссийских соревнованиях;</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фонда материального поощрения и стимулирования тренеров-преподавателей и обучающихся из бюджетных и внебюджетных источников;</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обеспечение качества предоставляемых образовательных услуг.</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Этапы реализации Программы развития</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Первый этап (подготовительный)</w:t>
      </w:r>
      <w:r>
        <w:rPr>
          <w:rFonts w:ascii="Times New Roman" w:hAnsi="Times New Roman" w:cs="Times New Roman" w:eastAsia="Times New Roman"/>
          <w:color w:val="000000"/>
          <w:spacing w:val="0"/>
          <w:position w:val="0"/>
          <w:sz w:val="28"/>
          <w:shd w:fill="auto" w:val="clear"/>
        </w:rPr>
        <w:t xml:space="preserve">  - 2016 </w:t>
      </w:r>
      <w:r>
        <w:rPr>
          <w:rFonts w:ascii="Times New Roman" w:hAnsi="Times New Roman" w:cs="Times New Roman" w:eastAsia="Times New Roman"/>
          <w:color w:val="000000"/>
          <w:spacing w:val="0"/>
          <w:position w:val="0"/>
          <w:sz w:val="28"/>
          <w:shd w:fill="auto" w:val="clear"/>
        </w:rPr>
        <w:t xml:space="preserve">год: изучение и формирование нормативно-правовой базы деятельности школы в связи с новыми образовательными стандартами и требованиями;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Второй этап (практический) - 2017-2020 годы: переход к устойчивой реализации новой модели организации современной образовательной среды и её содержания.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Третий этап (аналитико-коррекционный) - 2021 год: анализ и коррекция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реализации Программы развития на основе мониторинга эффективности работы по её внедрению, анализ, систематизация</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 обобщение достигнутых результатов, разработка стратегии дальнейшего развития ДЮСШ.</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План и система программных мероприятий на 2016- 2021г.г.</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Для более полного описания и наглядного примера пути развития, по которому будет работать школа, выделено восемь проектов:</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личностно-ориентированная модель;</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одарённость;</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здоровый образ жизни;</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летнее оздоровление;</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методическая служба;</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педагогическое образование;</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социальное партнёрство;</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материально-техническая база.</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1.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Личностно-ориентированная модель</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Цель: создание условий для самореализации личности, достижение успехов в том или ином виде спорта.</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Задачи: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Проведение исследований по изучению запросов и потребностей детей;</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Проведение исследований по изучению запросов и потребностей родителей (законных представителей) в рамках социального партнёрства;</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Изучение личности воспитанников;</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Медицинский контроль за занимающимися спортом.</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Grid>
        <w:gridCol w:w="2884"/>
        <w:gridCol w:w="1086"/>
        <w:gridCol w:w="2127"/>
        <w:gridCol w:w="4007"/>
      </w:tblGrid>
      <w:tr>
        <w:trPr>
          <w:trHeight w:val="1" w:hRule="atLeast"/>
          <w:jc w:val="left"/>
        </w:trPr>
        <w:tc>
          <w:tcPr>
            <w:tcW w:w="2884"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1086"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127"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c>
          <w:tcPr>
            <w:tcW w:w="4007"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Ожидаемые результаты</w:t>
            </w:r>
          </w:p>
        </w:tc>
      </w:tr>
      <w:tr>
        <w:trPr>
          <w:trHeight w:val="1" w:hRule="atLeast"/>
          <w:jc w:val="left"/>
        </w:trPr>
        <w:tc>
          <w:tcPr>
            <w:tcW w:w="288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Проведение исследований по изучению запросов и потребностей детей</w:t>
            </w:r>
          </w:p>
        </w:tc>
        <w:tc>
          <w:tcPr>
            <w:tcW w:w="108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2016 </w:t>
            </w:r>
            <w:r>
              <w:rPr>
                <w:rFonts w:ascii="Times New Roman" w:hAnsi="Times New Roman" w:cs="Times New Roman" w:eastAsia="Times New Roman"/>
                <w:color w:val="000000"/>
                <w:spacing w:val="0"/>
                <w:position w:val="0"/>
                <w:sz w:val="28"/>
                <w:shd w:fill="auto" w:val="clear"/>
              </w:rPr>
              <w:t xml:space="preserve">г.</w:t>
            </w:r>
          </w:p>
        </w:tc>
        <w:tc>
          <w:tcPr>
            <w:tcW w:w="212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40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Планирование</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тренировочного процесса в соответствии с запросами детей</w:t>
            </w:r>
          </w:p>
        </w:tc>
      </w:tr>
      <w:tr>
        <w:trPr>
          <w:trHeight w:val="1" w:hRule="atLeast"/>
          <w:jc w:val="left"/>
        </w:trPr>
        <w:tc>
          <w:tcPr>
            <w:tcW w:w="288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Создание базы данных о состоянии здоровья обучающихся на основе медицинского контроля</w:t>
            </w:r>
          </w:p>
        </w:tc>
        <w:tc>
          <w:tcPr>
            <w:tcW w:w="108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2016 </w:t>
            </w:r>
            <w:r>
              <w:rPr>
                <w:rFonts w:ascii="Times New Roman" w:hAnsi="Times New Roman" w:cs="Times New Roman" w:eastAsia="Times New Roman"/>
                <w:color w:val="000000"/>
                <w:spacing w:val="0"/>
                <w:position w:val="0"/>
                <w:sz w:val="28"/>
                <w:shd w:fill="auto" w:val="clear"/>
              </w:rPr>
              <w:t xml:space="preserve">г.</w:t>
            </w:r>
          </w:p>
        </w:tc>
        <w:tc>
          <w:tcPr>
            <w:tcW w:w="212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Медицинские работники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40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Анализ и прогнозирование здоровья и физического развития обучающихся</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2. Модель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Одарённость</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Цель: создание оптимальных условий для развития и совершенствования таланта спортивно-одарённых детей.</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Задачи:</w:t>
      </w:r>
    </w:p>
    <w:p>
      <w:pPr>
        <w:tabs>
          <w:tab w:val="left" w:pos="1560" w:leader="none"/>
          <w:tab w:val="left" w:pos="1701" w:leader="none"/>
        </w:tabs>
        <w:spacing w:before="0" w:after="0" w:line="240"/>
        <w:ind w:right="0" w:left="1495"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Увеличение количества победителей и призёров соревнований областного и федерального уровней;</w:t>
      </w:r>
    </w:p>
    <w:p>
      <w:pPr>
        <w:tabs>
          <w:tab w:val="left" w:pos="1560" w:leader="none"/>
        </w:tabs>
        <w:spacing w:before="0" w:after="0" w:line="240"/>
        <w:ind w:right="0" w:left="1495"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Подготовка спортсменов, выполнивших нормы ЕВСК.</w:t>
      </w:r>
    </w:p>
    <w:p>
      <w:pPr>
        <w:tabs>
          <w:tab w:val="left" w:pos="1560" w:leader="none"/>
        </w:tabs>
        <w:spacing w:before="0" w:after="0" w:line="240"/>
        <w:ind w:right="0" w:left="1495"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Grid>
        <w:gridCol w:w="3386"/>
        <w:gridCol w:w="1555"/>
        <w:gridCol w:w="2336"/>
        <w:gridCol w:w="2788"/>
      </w:tblGrid>
      <w:tr>
        <w:trPr>
          <w:trHeight w:val="1" w:hRule="atLeast"/>
          <w:jc w:val="left"/>
        </w:trPr>
        <w:tc>
          <w:tcPr>
            <w:tcW w:w="3386"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1555"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336"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c>
          <w:tcPr>
            <w:tcW w:w="2788"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Ожидаемые результаты</w:t>
            </w:r>
          </w:p>
        </w:tc>
      </w:tr>
      <w:tr>
        <w:trPr>
          <w:trHeight w:val="1" w:hRule="atLeast"/>
          <w:jc w:val="left"/>
        </w:trPr>
        <w:tc>
          <w:tcPr>
            <w:tcW w:w="3386"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Внедрение в образовательный процесс личностно-ориентированных педагогических технологий</w:t>
            </w:r>
          </w:p>
        </w:tc>
        <w:tc>
          <w:tcPr>
            <w:tcW w:w="155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2016-2018</w:t>
            </w:r>
            <w:r>
              <w:rPr>
                <w:rFonts w:ascii="Times New Roman" w:hAnsi="Times New Roman" w:cs="Times New Roman" w:eastAsia="Times New Roman"/>
                <w:color w:val="000000"/>
                <w:spacing w:val="0"/>
                <w:position w:val="0"/>
                <w:sz w:val="28"/>
                <w:shd w:fill="auto" w:val="clear"/>
              </w:rPr>
              <w:t xml:space="preserve">г.г.</w:t>
            </w:r>
          </w:p>
        </w:tc>
        <w:tc>
          <w:tcPr>
            <w:tcW w:w="233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Тренеры- преподаватели, инструкторы</w:t>
            </w:r>
          </w:p>
        </w:tc>
        <w:tc>
          <w:tcPr>
            <w:tcW w:w="278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положительная динамика достижений обучающихся ДЮСШ;</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потребность в разработке индивидуального маршрута спортивной подготовки</w:t>
            </w:r>
          </w:p>
        </w:tc>
      </w:tr>
      <w:tr>
        <w:trPr>
          <w:trHeight w:val="1" w:hRule="atLeast"/>
          <w:jc w:val="left"/>
        </w:trPr>
        <w:tc>
          <w:tcPr>
            <w:tcW w:w="3386"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Возможность участия воспитанников ДЮСШ в соревнованиях и квалификационных турнирах различного уровня</w:t>
            </w:r>
          </w:p>
        </w:tc>
        <w:tc>
          <w:tcPr>
            <w:tcW w:w="155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Ежегодно, весь период</w:t>
            </w:r>
          </w:p>
        </w:tc>
        <w:tc>
          <w:tcPr>
            <w:tcW w:w="233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278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Увеличение количества победителей, призёров соревнований различного уровня.</w:t>
            </w:r>
          </w:p>
        </w:tc>
      </w:tr>
      <w:tr>
        <w:trPr>
          <w:trHeight w:val="1" w:hRule="atLeast"/>
          <w:jc w:val="left"/>
        </w:trPr>
        <w:tc>
          <w:tcPr>
            <w:tcW w:w="3386"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Организация спортивных мероприятий, фестивалей различного уровня по культивируемым видам спорта</w:t>
            </w:r>
          </w:p>
        </w:tc>
        <w:tc>
          <w:tcPr>
            <w:tcW w:w="155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Ежегодно, весь период</w:t>
            </w:r>
          </w:p>
        </w:tc>
        <w:tc>
          <w:tcPr>
            <w:tcW w:w="233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тренерско-преподавате-льский состав</w:t>
            </w:r>
          </w:p>
        </w:tc>
        <w:tc>
          <w:tcPr>
            <w:tcW w:w="278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Популяризация, развитие видов спорта, выявление лучших спортсменов для дальнейшей специализации в избранном виде спорта</w:t>
            </w:r>
          </w:p>
        </w:tc>
      </w:tr>
      <w:tr>
        <w:trPr>
          <w:trHeight w:val="1" w:hRule="atLeast"/>
          <w:jc w:val="left"/>
        </w:trPr>
        <w:tc>
          <w:tcPr>
            <w:tcW w:w="3386"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250" w:firstLine="250"/>
              <w:jc w:val="left"/>
              <w:rPr>
                <w:spacing w:val="0"/>
                <w:position w:val="0"/>
              </w:rPr>
            </w:pPr>
            <w:r>
              <w:rPr>
                <w:rFonts w:ascii="Times New Roman" w:hAnsi="Times New Roman" w:cs="Times New Roman" w:eastAsia="Times New Roman"/>
                <w:color w:val="000000"/>
                <w:spacing w:val="0"/>
                <w:position w:val="0"/>
                <w:sz w:val="28"/>
                <w:shd w:fill="auto" w:val="clear"/>
              </w:rPr>
              <w:t xml:space="preserve">Участие в спортивных ппраздниках</w:t>
            </w:r>
          </w:p>
        </w:tc>
        <w:tc>
          <w:tcPr>
            <w:tcW w:w="155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Ежегодно, весь период</w:t>
            </w:r>
          </w:p>
        </w:tc>
        <w:tc>
          <w:tcPr>
            <w:tcW w:w="233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тренерско-преподавате-льский состав</w:t>
            </w:r>
          </w:p>
        </w:tc>
        <w:tc>
          <w:tcPr>
            <w:tcW w:w="278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Популяризация здорового образа жизни. Вовлечение максимального количества детей в спортивную деятельность</w:t>
            </w:r>
          </w:p>
        </w:tc>
      </w:tr>
    </w:tbl>
    <w:p>
      <w:pPr>
        <w:spacing w:before="0" w:after="0" w:line="240"/>
        <w:ind w:right="0" w:left="1495"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3. Модель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Здоровый образ жизни</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Цель: расширение возможностей для детей и подростков систематическими занятиями физической культурой и спортом.</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Задачи: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Формирование понятия о здоровом образе жизни;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Профилактика вредных привычек (алкоголь, курение, наркотики и т.д);</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Развитие здоровьесберегающих технологий.</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Grid>
        <w:gridCol w:w="2794"/>
        <w:gridCol w:w="1601"/>
        <w:gridCol w:w="2268"/>
        <w:gridCol w:w="3226"/>
      </w:tblGrid>
      <w:tr>
        <w:trPr>
          <w:trHeight w:val="1" w:hRule="atLeast"/>
          <w:jc w:val="left"/>
        </w:trPr>
        <w:tc>
          <w:tcPr>
            <w:tcW w:w="2794"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1601"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268"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c>
          <w:tcPr>
            <w:tcW w:w="3226"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Ожидаемые результаты</w:t>
            </w:r>
          </w:p>
        </w:tc>
      </w:tr>
      <w:tr>
        <w:trPr>
          <w:trHeight w:val="1" w:hRule="atLeast"/>
          <w:jc w:val="left"/>
        </w:trPr>
        <w:tc>
          <w:tcPr>
            <w:tcW w:w="279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Повышение уровня знаний по вопросам здорового образа жизни, физической культуры и спорта</w:t>
            </w:r>
          </w:p>
        </w:tc>
        <w:tc>
          <w:tcPr>
            <w:tcW w:w="1601"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Ежегодно, весь период</w:t>
            </w:r>
          </w:p>
        </w:tc>
        <w:tc>
          <w:tcPr>
            <w:tcW w:w="226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322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Формирование у обучающихся стойкого интереса к систематическим занятиям. Обучение основным двигательным навыкам, воспитание физических, морально- этических и волевых качеств</w:t>
            </w:r>
          </w:p>
        </w:tc>
      </w:tr>
      <w:tr>
        <w:trPr>
          <w:trHeight w:val="1" w:hRule="atLeast"/>
          <w:jc w:val="left"/>
        </w:trPr>
        <w:tc>
          <w:tcPr>
            <w:tcW w:w="279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Увеличение групп начальной подготовки во всех отделениях</w:t>
            </w:r>
          </w:p>
        </w:tc>
        <w:tc>
          <w:tcPr>
            <w:tcW w:w="1601"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2016-2018</w:t>
            </w:r>
            <w:r>
              <w:rPr>
                <w:rFonts w:ascii="Times New Roman" w:hAnsi="Times New Roman" w:cs="Times New Roman" w:eastAsia="Times New Roman"/>
                <w:color w:val="000000"/>
                <w:spacing w:val="0"/>
                <w:position w:val="0"/>
                <w:sz w:val="28"/>
                <w:shd w:fill="auto" w:val="clear"/>
              </w:rPr>
              <w:t xml:space="preserve">г.г.</w:t>
            </w:r>
          </w:p>
        </w:tc>
        <w:tc>
          <w:tcPr>
            <w:tcW w:w="226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Тренеры- преподаватели</w:t>
            </w:r>
          </w:p>
        </w:tc>
        <w:tc>
          <w:tcPr>
            <w:tcW w:w="322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Рост числа занимающихся</w:t>
            </w:r>
          </w:p>
        </w:tc>
      </w:tr>
      <w:tr>
        <w:trPr>
          <w:trHeight w:val="1" w:hRule="atLeast"/>
          <w:jc w:val="left"/>
        </w:trPr>
        <w:tc>
          <w:tcPr>
            <w:tcW w:w="279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Профилактика употребления табака, алкоголя, наркотиков среди детей и подростков</w:t>
            </w:r>
          </w:p>
        </w:tc>
        <w:tc>
          <w:tcPr>
            <w:tcW w:w="1601"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Ежегодно,</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раза в год</w:t>
            </w:r>
          </w:p>
        </w:tc>
        <w:tc>
          <w:tcPr>
            <w:tcW w:w="226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322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Предупреждение криминализации личности, освоение обучающимися социальной идентичности и успешная социализация его личности в обществе</w:t>
            </w:r>
          </w:p>
        </w:tc>
      </w:tr>
      <w:tr>
        <w:trPr>
          <w:trHeight w:val="1" w:hRule="atLeast"/>
          <w:jc w:val="left"/>
        </w:trPr>
        <w:tc>
          <w:tcPr>
            <w:tcW w:w="279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Развитие здоровьесберегающих технологий</w:t>
            </w:r>
          </w:p>
        </w:tc>
        <w:tc>
          <w:tcPr>
            <w:tcW w:w="1601"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2016-2018</w:t>
            </w:r>
            <w:r>
              <w:rPr>
                <w:rFonts w:ascii="Times New Roman" w:hAnsi="Times New Roman" w:cs="Times New Roman" w:eastAsia="Times New Roman"/>
                <w:color w:val="000000"/>
                <w:spacing w:val="0"/>
                <w:position w:val="0"/>
                <w:sz w:val="28"/>
                <w:shd w:fill="auto" w:val="clear"/>
              </w:rPr>
              <w:t xml:space="preserve">г.г.</w:t>
            </w:r>
          </w:p>
        </w:tc>
        <w:tc>
          <w:tcPr>
            <w:tcW w:w="226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322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Обеспечение соответствия организации учебно- воспитательного процесса санитарно-гигиеническим требованиям и техники безопасности.</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Строгое соблюдение режима тренировок, нормативов</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тренировочной нагрузки.</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Обеспечение благоприятного психологического климата в ученическом коллективе, в спортивной школе.</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Использование разнообразных форм организации учебно-воспитательного процесса в соответствии с возрастом и уровнем подготовленности обучающихся.</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Обеспечение полноценного отдыха и условий для восстановления спортсменов после соревнований.</w:t>
            </w:r>
          </w:p>
          <w:p>
            <w:pPr>
              <w:spacing w:before="0" w:after="0" w:line="240"/>
              <w:ind w:right="0" w:left="0" w:firstLine="0"/>
              <w:jc w:val="left"/>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Осуществление медицинского контроля за состоянием здоровья обучающихся.</w:t>
            </w:r>
          </w:p>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Формирование мотивационных установок на здоровый образ жизни. Проведение мероприятий физкультурно-спортивной направленности.</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4. Модель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Летнее оздоровление</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Цель: Создание условий для активных занятий спортом в летний период.</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Задачи: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Укрепление здоровья, привитие навыков здорового образа жизни и стойкого интереса к занятиям</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в избранном виде спорта.</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Повышение уровня разносторонней физической и функциональной подготовленности.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Совершенствование технической подготовленности.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4.    </w:t>
      </w:r>
      <w:r>
        <w:rPr>
          <w:rFonts w:ascii="Times New Roman" w:hAnsi="Times New Roman" w:cs="Times New Roman" w:eastAsia="Times New Roman"/>
          <w:color w:val="000000"/>
          <w:spacing w:val="0"/>
          <w:position w:val="0"/>
          <w:sz w:val="28"/>
          <w:shd w:fill="auto" w:val="clear"/>
        </w:rPr>
        <w:t xml:space="preserve">Накопление соревновательного опыта.</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5.    </w:t>
      </w:r>
      <w:r>
        <w:rPr>
          <w:rFonts w:ascii="Times New Roman" w:hAnsi="Times New Roman" w:cs="Times New Roman" w:eastAsia="Times New Roman"/>
          <w:color w:val="000000"/>
          <w:spacing w:val="0"/>
          <w:position w:val="0"/>
          <w:sz w:val="28"/>
          <w:shd w:fill="auto" w:val="clear"/>
        </w:rPr>
        <w:t xml:space="preserve">Воспитание черт спортивного характера.</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6.    </w:t>
      </w:r>
      <w:r>
        <w:rPr>
          <w:rFonts w:ascii="Times New Roman" w:hAnsi="Times New Roman" w:cs="Times New Roman" w:eastAsia="Times New Roman"/>
          <w:color w:val="000000"/>
          <w:spacing w:val="0"/>
          <w:position w:val="0"/>
          <w:sz w:val="28"/>
          <w:shd w:fill="auto" w:val="clear"/>
        </w:rPr>
        <w:t xml:space="preserve">Формирование благоприятной эмоционально-психологической атмосферы в коллективе.</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Ind w:w="250" w:type="dxa"/>
      </w:tblPr>
      <w:tblGrid>
        <w:gridCol w:w="2099"/>
        <w:gridCol w:w="1420"/>
        <w:gridCol w:w="2133"/>
        <w:gridCol w:w="3669"/>
      </w:tblGrid>
      <w:tr>
        <w:trPr>
          <w:trHeight w:val="1" w:hRule="atLeast"/>
          <w:jc w:val="left"/>
        </w:trPr>
        <w:tc>
          <w:tcPr>
            <w:tcW w:w="2099"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1420"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133"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c>
          <w:tcPr>
            <w:tcW w:w="3669"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Ожидаемые результаты</w:t>
            </w:r>
          </w:p>
        </w:tc>
      </w:tr>
      <w:tr>
        <w:trPr>
          <w:trHeight w:val="1" w:hRule="atLeast"/>
          <w:jc w:val="left"/>
        </w:trPr>
        <w:tc>
          <w:tcPr>
            <w:tcW w:w="2099"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Планирование тренировочных занятий и соревнований</w:t>
            </w:r>
          </w:p>
        </w:tc>
        <w:tc>
          <w:tcPr>
            <w:tcW w:w="142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Ежегодно</w:t>
            </w:r>
          </w:p>
        </w:tc>
        <w:tc>
          <w:tcPr>
            <w:tcW w:w="21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тренеры-преподаватели</w:t>
            </w:r>
          </w:p>
        </w:tc>
        <w:tc>
          <w:tcPr>
            <w:tcW w:w="3669"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Повышение уровня разносторонней</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физической и функциональной подготовленности.</w:t>
            </w:r>
          </w:p>
        </w:tc>
      </w:tr>
      <w:tr>
        <w:trPr>
          <w:trHeight w:val="1" w:hRule="atLeast"/>
          <w:jc w:val="left"/>
        </w:trPr>
        <w:tc>
          <w:tcPr>
            <w:tcW w:w="2099"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Участие в спортивных мероприятиях района</w:t>
            </w:r>
          </w:p>
        </w:tc>
        <w:tc>
          <w:tcPr>
            <w:tcW w:w="142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Ежегодно</w:t>
            </w:r>
          </w:p>
        </w:tc>
        <w:tc>
          <w:tcPr>
            <w:tcW w:w="21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3669"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Формирование благоприятной эмоционально- психологической атмосферы в коллективе</w:t>
            </w:r>
          </w:p>
        </w:tc>
      </w:tr>
      <w:tr>
        <w:trPr>
          <w:trHeight w:val="1" w:hRule="atLeast"/>
          <w:jc w:val="left"/>
        </w:trPr>
        <w:tc>
          <w:tcPr>
            <w:tcW w:w="2099"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Планирование учебно-тренировочных сборов по видам спорта</w:t>
            </w:r>
          </w:p>
        </w:tc>
        <w:tc>
          <w:tcPr>
            <w:tcW w:w="142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Ежегодно</w:t>
            </w:r>
          </w:p>
        </w:tc>
        <w:tc>
          <w:tcPr>
            <w:tcW w:w="21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3669"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Сотрудничество с образовательными организациями, формирование благоприятной эмоционально-психологической атмосферы в коллективе</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5. Модель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Методическая служба</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Цель: Создание новой модели методической службы в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Задачи: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Внедрение новых, инновационных технологий обучения и воспитания.</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Совершенствование подготовки к аттестации педагогических работников.</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3.    </w:t>
      </w:r>
      <w:r>
        <w:rPr>
          <w:rFonts w:ascii="Times New Roman" w:hAnsi="Times New Roman" w:cs="Times New Roman" w:eastAsia="Times New Roman"/>
          <w:color w:val="000000"/>
          <w:spacing w:val="0"/>
          <w:position w:val="0"/>
          <w:sz w:val="28"/>
          <w:shd w:fill="auto" w:val="clear"/>
        </w:rPr>
        <w:t xml:space="preserve">Активизация работы по обобщению и распространению передового педагогического опыта</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Grid>
        <w:gridCol w:w="3133"/>
        <w:gridCol w:w="1392"/>
        <w:gridCol w:w="2138"/>
        <w:gridCol w:w="3433"/>
      </w:tblGrid>
      <w:tr>
        <w:trPr>
          <w:trHeight w:val="1" w:hRule="atLeast"/>
          <w:jc w:val="left"/>
        </w:trPr>
        <w:tc>
          <w:tcPr>
            <w:tcW w:w="3133"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1392"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138"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c>
          <w:tcPr>
            <w:tcW w:w="3433"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Ожидаемые результаты</w:t>
            </w:r>
          </w:p>
        </w:tc>
      </w:tr>
      <w:tr>
        <w:trPr>
          <w:trHeight w:val="1" w:hRule="atLeast"/>
          <w:jc w:val="left"/>
        </w:trPr>
        <w:tc>
          <w:tcPr>
            <w:tcW w:w="3133"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Апробация дополнительных  предпрофессиональных программ и прграмм спортивной подготовки по видам спорта</w:t>
            </w:r>
          </w:p>
        </w:tc>
        <w:tc>
          <w:tcPr>
            <w:tcW w:w="1392"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2016-2018</w:t>
            </w:r>
            <w:r>
              <w:rPr>
                <w:rFonts w:ascii="Times New Roman" w:hAnsi="Times New Roman" w:cs="Times New Roman" w:eastAsia="Times New Roman"/>
                <w:color w:val="000000"/>
                <w:spacing w:val="0"/>
                <w:position w:val="0"/>
                <w:sz w:val="28"/>
                <w:shd w:fill="auto" w:val="clear"/>
              </w:rPr>
              <w:t xml:space="preserve">г.г.</w:t>
            </w:r>
          </w:p>
        </w:tc>
        <w:tc>
          <w:tcPr>
            <w:tcW w:w="213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Тренеры-преподаватели, инструкторы</w:t>
            </w:r>
          </w:p>
        </w:tc>
        <w:tc>
          <w:tcPr>
            <w:tcW w:w="34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Организация образовательного процесса обучающихся на различных этапах многолетней спортивной подготовки</w:t>
            </w:r>
          </w:p>
        </w:tc>
      </w:tr>
      <w:tr>
        <w:trPr>
          <w:trHeight w:val="1" w:hRule="atLeast"/>
          <w:jc w:val="left"/>
        </w:trPr>
        <w:tc>
          <w:tcPr>
            <w:tcW w:w="3133"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Диагностика качества обучения</w:t>
            </w:r>
          </w:p>
        </w:tc>
        <w:tc>
          <w:tcPr>
            <w:tcW w:w="1392"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2018-2021</w:t>
            </w:r>
            <w:r>
              <w:rPr>
                <w:rFonts w:ascii="Times New Roman" w:hAnsi="Times New Roman" w:cs="Times New Roman" w:eastAsia="Times New Roman"/>
                <w:color w:val="000000"/>
                <w:spacing w:val="0"/>
                <w:position w:val="0"/>
                <w:sz w:val="28"/>
                <w:shd w:fill="auto" w:val="clear"/>
              </w:rPr>
              <w:t xml:space="preserve">г.г.</w:t>
            </w:r>
          </w:p>
        </w:tc>
        <w:tc>
          <w:tcPr>
            <w:tcW w:w="213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по УП</w:t>
            </w:r>
          </w:p>
        </w:tc>
        <w:tc>
          <w:tcPr>
            <w:tcW w:w="34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Создание и внедрение мониторинга качества образования</w:t>
            </w:r>
          </w:p>
        </w:tc>
      </w:tr>
      <w:tr>
        <w:trPr>
          <w:trHeight w:val="1" w:hRule="atLeast"/>
          <w:jc w:val="left"/>
        </w:trPr>
        <w:tc>
          <w:tcPr>
            <w:tcW w:w="3133"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Помощь тренерам- преподавателям в подготовке к аттестации</w:t>
            </w:r>
          </w:p>
        </w:tc>
        <w:tc>
          <w:tcPr>
            <w:tcW w:w="1392"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Ежегодно</w:t>
            </w:r>
          </w:p>
        </w:tc>
        <w:tc>
          <w:tcPr>
            <w:tcW w:w="213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Заместитель по УП</w:t>
            </w:r>
          </w:p>
        </w:tc>
        <w:tc>
          <w:tcPr>
            <w:tcW w:w="34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Применение образовательной технологии</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Портфолио</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ИКТ- компетентность тренера- преподавателя</w:t>
            </w:r>
          </w:p>
        </w:tc>
      </w:tr>
      <w:tr>
        <w:trPr>
          <w:trHeight w:val="1" w:hRule="atLeast"/>
          <w:jc w:val="left"/>
        </w:trPr>
        <w:tc>
          <w:tcPr>
            <w:tcW w:w="3133"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Активизация работы по обобщению и распространению передового педагогического опыта</w:t>
            </w:r>
          </w:p>
        </w:tc>
        <w:tc>
          <w:tcPr>
            <w:tcW w:w="1392"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2018-2021</w:t>
            </w:r>
            <w:r>
              <w:rPr>
                <w:rFonts w:ascii="Times New Roman" w:hAnsi="Times New Roman" w:cs="Times New Roman" w:eastAsia="Times New Roman"/>
                <w:color w:val="000000"/>
                <w:spacing w:val="0"/>
                <w:position w:val="0"/>
                <w:sz w:val="28"/>
                <w:shd w:fill="auto" w:val="clear"/>
              </w:rPr>
              <w:t xml:space="preserve">г.г.</w:t>
            </w:r>
          </w:p>
        </w:tc>
        <w:tc>
          <w:tcPr>
            <w:tcW w:w="2138"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Тренеры- преподаватели, </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инструкторы</w:t>
            </w:r>
          </w:p>
        </w:tc>
        <w:tc>
          <w:tcPr>
            <w:tcW w:w="3433"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Обмен опытом с тренерами- преподавателями других спортивных школ.</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6. Модель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Педагогическое образование</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Цель: совершенствование системы подготовки, повышения квалификации, переподготовки,</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аттестации педагогических кадров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Задачи: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Повышение уровня педагогического образования среди тренеров-преподавателей.</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2.           </w:t>
      </w:r>
      <w:r>
        <w:rPr>
          <w:rFonts w:ascii="Times New Roman" w:hAnsi="Times New Roman" w:cs="Times New Roman" w:eastAsia="Times New Roman"/>
          <w:color w:val="000000"/>
          <w:spacing w:val="0"/>
          <w:position w:val="0"/>
          <w:sz w:val="28"/>
          <w:shd w:fill="auto" w:val="clear"/>
        </w:rPr>
        <w:t xml:space="preserve">Повышение квалификации тренеров-преподавателей.</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Grid>
        <w:gridCol w:w="3189"/>
        <w:gridCol w:w="3190"/>
        <w:gridCol w:w="3191"/>
      </w:tblGrid>
      <w:tr>
        <w:trPr>
          <w:trHeight w:val="1" w:hRule="atLeast"/>
          <w:jc w:val="left"/>
        </w:trPr>
        <w:tc>
          <w:tcPr>
            <w:tcW w:w="31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Направление деятельности</w:t>
            </w:r>
          </w:p>
        </w:tc>
        <w:tc>
          <w:tcPr>
            <w:tcW w:w="31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Сроки</w:t>
            </w:r>
          </w:p>
        </w:tc>
        <w:tc>
          <w:tcPr>
            <w:tcW w:w="31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Ответственные</w:t>
            </w:r>
          </w:p>
        </w:tc>
      </w:tr>
      <w:tr>
        <w:trPr>
          <w:trHeight w:val="1" w:hRule="atLeast"/>
          <w:jc w:val="left"/>
        </w:trPr>
        <w:tc>
          <w:tcPr>
            <w:tcW w:w="31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rPr>
            </w:pPr>
            <w:r>
              <w:rPr>
                <w:rFonts w:ascii="Times New Roman" w:hAnsi="Times New Roman" w:cs="Times New Roman" w:eastAsia="Times New Roman"/>
                <w:color w:val="auto"/>
                <w:spacing w:val="0"/>
                <w:position w:val="0"/>
                <w:sz w:val="28"/>
                <w:shd w:fill="auto" w:val="clear"/>
              </w:rPr>
              <w:t xml:space="preserve">Создание системы поощрений работников, добивающихся значительных результатов</w:t>
              <w:tab/>
              <w:t xml:space="preserve">в подготовке спортсменов</w:t>
            </w:r>
          </w:p>
        </w:tc>
        <w:tc>
          <w:tcPr>
            <w:tcW w:w="31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2016-2017 </w:t>
            </w:r>
            <w:r>
              <w:rPr>
                <w:rFonts w:ascii="Times New Roman" w:hAnsi="Times New Roman" w:cs="Times New Roman" w:eastAsia="Times New Roman"/>
                <w:color w:val="auto"/>
                <w:spacing w:val="0"/>
                <w:position w:val="0"/>
                <w:sz w:val="28"/>
                <w:shd w:fill="auto" w:val="clear"/>
              </w:rPr>
              <w:t xml:space="preserve">гг.</w:t>
            </w:r>
          </w:p>
        </w:tc>
        <w:tc>
          <w:tcPr>
            <w:tcW w:w="31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Директор, заместитель по УП</w:t>
            </w:r>
          </w:p>
        </w:tc>
      </w:tr>
      <w:tr>
        <w:trPr>
          <w:trHeight w:val="1" w:hRule="atLeast"/>
          <w:jc w:val="left"/>
        </w:trPr>
        <w:tc>
          <w:tcPr>
            <w:tcW w:w="31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color w:val="auto"/>
                <w:spacing w:val="0"/>
                <w:position w:val="0"/>
              </w:rPr>
            </w:pPr>
            <w:r>
              <w:rPr>
                <w:rFonts w:ascii="Times New Roman" w:hAnsi="Times New Roman" w:cs="Times New Roman" w:eastAsia="Times New Roman"/>
                <w:color w:val="auto"/>
                <w:spacing w:val="0"/>
                <w:position w:val="0"/>
                <w:sz w:val="28"/>
                <w:shd w:fill="auto" w:val="clear"/>
              </w:rPr>
              <w:t xml:space="preserve">Поддержка тренеров-преподавателей, занимающихся внедрением новых инновационных технологий в учебно-тренировочный процесс</w:t>
              <w:tab/>
            </w:r>
          </w:p>
        </w:tc>
        <w:tc>
          <w:tcPr>
            <w:tcW w:w="31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2017-2019 </w:t>
            </w:r>
            <w:r>
              <w:rPr>
                <w:rFonts w:ascii="Times New Roman" w:hAnsi="Times New Roman" w:cs="Times New Roman" w:eastAsia="Times New Roman"/>
                <w:color w:val="auto"/>
                <w:spacing w:val="0"/>
                <w:position w:val="0"/>
                <w:sz w:val="28"/>
                <w:shd w:fill="auto" w:val="clear"/>
              </w:rPr>
              <w:t xml:space="preserve">гг.</w:t>
              <w:tab/>
            </w:r>
          </w:p>
          <w:p>
            <w:pPr>
              <w:spacing w:before="0" w:after="200" w:line="240"/>
              <w:ind w:right="0" w:left="0" w:firstLine="0"/>
              <w:jc w:val="both"/>
              <w:rPr>
                <w:color w:val="auto"/>
                <w:spacing w:val="0"/>
                <w:position w:val="0"/>
              </w:rPr>
            </w:pPr>
          </w:p>
        </w:tc>
        <w:tc>
          <w:tcPr>
            <w:tcW w:w="31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Директор, заместитель по УП</w:t>
            </w:r>
          </w:p>
        </w:tc>
      </w:tr>
      <w:tr>
        <w:trPr>
          <w:trHeight w:val="1" w:hRule="atLeast"/>
          <w:jc w:val="left"/>
        </w:trPr>
        <w:tc>
          <w:tcPr>
            <w:tcW w:w="31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Повышение квалификации тренерского состава через Федерации, проведение совместных семинаров, мастер-классов.</w:t>
              <w:tab/>
            </w:r>
          </w:p>
        </w:tc>
        <w:tc>
          <w:tcPr>
            <w:tcW w:w="31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2017-2019 </w:t>
            </w:r>
            <w:r>
              <w:rPr>
                <w:rFonts w:ascii="Times New Roman" w:hAnsi="Times New Roman" w:cs="Times New Roman" w:eastAsia="Times New Roman"/>
                <w:color w:val="auto"/>
                <w:spacing w:val="0"/>
                <w:position w:val="0"/>
                <w:sz w:val="28"/>
                <w:shd w:fill="auto" w:val="clear"/>
              </w:rPr>
              <w:t xml:space="preserve">гг.</w:t>
              <w:tab/>
            </w:r>
          </w:p>
          <w:p>
            <w:pPr>
              <w:spacing w:before="0" w:after="200" w:line="240"/>
              <w:ind w:right="0" w:left="0" w:firstLine="0"/>
              <w:jc w:val="both"/>
              <w:rPr>
                <w:color w:val="auto"/>
                <w:spacing w:val="0"/>
                <w:position w:val="0"/>
              </w:rPr>
            </w:pPr>
          </w:p>
        </w:tc>
        <w:tc>
          <w:tcPr>
            <w:tcW w:w="31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rPr>
            </w:pPr>
            <w:r>
              <w:rPr>
                <w:rFonts w:ascii="Times New Roman" w:hAnsi="Times New Roman" w:cs="Times New Roman" w:eastAsia="Times New Roman"/>
                <w:color w:val="auto"/>
                <w:spacing w:val="0"/>
                <w:position w:val="0"/>
                <w:sz w:val="28"/>
                <w:shd w:fill="auto" w:val="clear"/>
              </w:rPr>
              <w:t xml:space="preserve">Заместитель по УП</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7. Модель </w:t>
      </w:r>
      <w:r>
        <w:rPr>
          <w:rFonts w:ascii="Times New Roman" w:hAnsi="Times New Roman" w:cs="Times New Roman" w:eastAsia="Times New Roman"/>
          <w:b/>
          <w:color w:val="000000"/>
          <w:spacing w:val="0"/>
          <w:position w:val="0"/>
          <w:sz w:val="28"/>
          <w:shd w:fill="auto" w:val="clear"/>
        </w:rPr>
        <w:t xml:space="preserve">«</w:t>
      </w:r>
      <w:r>
        <w:rPr>
          <w:rFonts w:ascii="Times New Roman" w:hAnsi="Times New Roman" w:cs="Times New Roman" w:eastAsia="Times New Roman"/>
          <w:b/>
          <w:color w:val="000000"/>
          <w:spacing w:val="0"/>
          <w:position w:val="0"/>
          <w:sz w:val="28"/>
          <w:shd w:fill="auto" w:val="clear"/>
        </w:rPr>
        <w:t xml:space="preserve">Социальное партнёрство</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Цель: расширение партнёрских связей с федеральными, муниципальными и государственными, негосударственными учреждениями, спортивными школами, клубами, объединениями, ассоциациями, федерациями; взаимодействие с родителями (законными представителями) обучающихся.</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tbl>
      <w:tblPr>
        <w:tblInd w:w="15" w:type="dxa"/>
      </w:tblPr>
      <w:tblGrid>
        <w:gridCol w:w="674"/>
        <w:gridCol w:w="4107"/>
        <w:gridCol w:w="2385"/>
        <w:gridCol w:w="2390"/>
      </w:tblGrid>
      <w:tr>
        <w:trPr>
          <w:trHeight w:val="1" w:hRule="atLeast"/>
          <w:jc w:val="left"/>
        </w:trPr>
        <w:tc>
          <w:tcPr>
            <w:tcW w:w="674"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п/п</w:t>
            </w:r>
          </w:p>
        </w:tc>
        <w:tc>
          <w:tcPr>
            <w:tcW w:w="4107"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2385"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390"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1.</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Диагностика удовлетворённости родителей (законных представителей) результатами обучения, воспитания и развития ребёнка</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Ежегодно</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Заместитель директора по УП.</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Формирование партнёрских отношений между родителями и тренерами-преподавателями, организация участия родительской общественности в жизни школы, в укреплении и модернизации материально- технической базы школы</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Заместитель директора по УП, тренеры- преподаватели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3.</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Организация и проведение совместных детско-взрослых мероприятий, укрепляющих семейные и общественные связи.</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директора по УП, тренеры- преподаватели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4.</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Проведение мероприятий совместно с другими образовательными организациями.</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по УП, тренеры- преподаватели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5.</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Работа по укреплению здоровья совместно с Мамадышской ЦРБ</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по УП, медицинский персонал ДЮСШ</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6.</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Совместная работа с Отделом МВД России по Мамадышскому району, по изучению с обучающимися правовых документов, проведение </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индивидуальных бесед</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по УП, тренеры- преподаватели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7.</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Организация мероприятий (конкурсы, фестивали и т.д.) совместно с МУ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ОДМС</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для выявления талантливых детей</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по УП, тренеры- преподаватели</w:t>
            </w:r>
          </w:p>
        </w:tc>
      </w:tr>
      <w:tr>
        <w:trPr>
          <w:trHeight w:val="1" w:hRule="atLeast"/>
          <w:jc w:val="left"/>
        </w:trPr>
        <w:tc>
          <w:tcPr>
            <w:tcW w:w="67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8.</w:t>
            </w:r>
          </w:p>
        </w:tc>
        <w:tc>
          <w:tcPr>
            <w:tcW w:w="410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Проведение праздников (День физкультурника и т.д.) </w:t>
            </w:r>
          </w:p>
        </w:tc>
        <w:tc>
          <w:tcPr>
            <w:tcW w:w="2385"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2016-2021</w:t>
            </w:r>
            <w:r>
              <w:rPr>
                <w:rFonts w:ascii="Times New Roman" w:hAnsi="Times New Roman" w:cs="Times New Roman" w:eastAsia="Times New Roman"/>
                <w:color w:val="000000"/>
                <w:spacing w:val="0"/>
                <w:position w:val="0"/>
                <w:sz w:val="28"/>
                <w:shd w:fill="auto" w:val="clear"/>
              </w:rPr>
              <w:t xml:space="preserve">г.г.</w:t>
            </w:r>
          </w:p>
        </w:tc>
        <w:tc>
          <w:tcPr>
            <w:tcW w:w="2390"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8"/>
                <w:shd w:fill="auto" w:val="clear"/>
              </w:rPr>
              <w:t xml:space="preserve">Директор, заместитель по УП, тренеры- преподаватели</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Взаимодействие ДЮСШ с социальными партнёрами в основном строятся на принципах равноправия сторон, свободы выбора при обсуждении вопросов, согласования интересов, признания норм взаимной ответственности.</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Мы, убеждены, что социальное партнёрство для системы образования должно стать естественной формой существования и процветания образования. В условиях рыночной экономики, только в тесном контакте с другими образовательными организациями, общественными организациями, органами управления и самоуправления, работодателями школа сможет выполнять своё главное предназначение – давать качественное образование и самореализацию личности ребёнка.</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Проект 8. Модель </w:t>
      </w:r>
      <w:r>
        <w:rPr>
          <w:rFonts w:ascii="Times New Roman" w:hAnsi="Times New Roman" w:cs="Times New Roman" w:eastAsia="Times New Roman"/>
          <w:b/>
          <w:color w:val="000000"/>
          <w:spacing w:val="0"/>
          <w:position w:val="0"/>
          <w:sz w:val="28"/>
          <w:shd w:fill="auto" w:val="clear"/>
        </w:rPr>
        <w:t xml:space="preserve">« </w:t>
      </w:r>
      <w:r>
        <w:rPr>
          <w:rFonts w:ascii="Times New Roman" w:hAnsi="Times New Roman" w:cs="Times New Roman" w:eastAsia="Times New Roman"/>
          <w:b/>
          <w:color w:val="000000"/>
          <w:spacing w:val="0"/>
          <w:position w:val="0"/>
          <w:sz w:val="28"/>
          <w:shd w:fill="auto" w:val="clear"/>
        </w:rPr>
        <w:t xml:space="preserve">Материально – техническая база</w:t>
      </w:r>
      <w:r>
        <w:rPr>
          <w:rFonts w:ascii="Times New Roman" w:hAnsi="Times New Roman" w:cs="Times New Roman" w:eastAsia="Times New Roman"/>
          <w:b/>
          <w:color w:val="000000"/>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Цель: совершенствование материально- технической базы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Задачи:</w:t>
      </w:r>
    </w:p>
    <w:p>
      <w:pPr>
        <w:spacing w:before="0" w:after="0" w:line="240"/>
        <w:ind w:right="0" w:left="0" w:hanging="36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1.    </w:t>
      </w:r>
      <w:r>
        <w:rPr>
          <w:rFonts w:ascii="Times New Roman" w:hAnsi="Times New Roman" w:cs="Times New Roman" w:eastAsia="Times New Roman"/>
          <w:color w:val="000000"/>
          <w:spacing w:val="0"/>
          <w:position w:val="0"/>
          <w:sz w:val="28"/>
          <w:shd w:fill="auto" w:val="clear"/>
        </w:rPr>
        <w:t xml:space="preserve">Укрепление материально- технической базы.</w:t>
      </w:r>
    </w:p>
    <w:tbl>
      <w:tblPr>
        <w:tblInd w:w="720" w:type="dxa"/>
      </w:tblPr>
      <w:tblGrid>
        <w:gridCol w:w="2054"/>
        <w:gridCol w:w="2037"/>
        <w:gridCol w:w="2194"/>
        <w:gridCol w:w="2566"/>
      </w:tblGrid>
      <w:tr>
        <w:trPr>
          <w:trHeight w:val="793" w:hRule="auto"/>
          <w:jc w:val="left"/>
        </w:trPr>
        <w:tc>
          <w:tcPr>
            <w:tcW w:w="2054"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Направление деятельности</w:t>
            </w:r>
          </w:p>
        </w:tc>
        <w:tc>
          <w:tcPr>
            <w:tcW w:w="2037"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Сроки</w:t>
            </w:r>
          </w:p>
        </w:tc>
        <w:tc>
          <w:tcPr>
            <w:tcW w:w="2194"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Ответственные</w:t>
            </w:r>
          </w:p>
        </w:tc>
        <w:tc>
          <w:tcPr>
            <w:tcW w:w="2566" w:type="dxa"/>
            <w:tcBorders>
              <w:top w:val="single" w:color="000000" w:sz="8"/>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Результат</w:t>
            </w:r>
          </w:p>
        </w:tc>
      </w:tr>
      <w:tr>
        <w:trPr>
          <w:trHeight w:val="1" w:hRule="atLeast"/>
          <w:jc w:val="left"/>
        </w:trPr>
        <w:tc>
          <w:tcPr>
            <w:tcW w:w="2054" w:type="dxa"/>
            <w:tcBorders>
              <w:top w:val="single" w:color="000000" w:sz="0"/>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Приобретение спортивного инвентаря, спортивного оборудования, спортивной формы, согласно требованиям ФССП</w:t>
            </w:r>
          </w:p>
        </w:tc>
        <w:tc>
          <w:tcPr>
            <w:tcW w:w="2037"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2016-2021 </w:t>
            </w:r>
            <w:r>
              <w:rPr>
                <w:rFonts w:ascii="Times New Roman" w:hAnsi="Times New Roman" w:cs="Times New Roman" w:eastAsia="Times New Roman"/>
                <w:color w:val="000000"/>
                <w:spacing w:val="0"/>
                <w:position w:val="0"/>
                <w:sz w:val="28"/>
                <w:shd w:fill="auto" w:val="clear"/>
              </w:rPr>
              <w:t xml:space="preserve">г.г.</w:t>
            </w:r>
          </w:p>
        </w:tc>
        <w:tc>
          <w:tcPr>
            <w:tcW w:w="2194"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w:t>
            </w:r>
          </w:p>
        </w:tc>
        <w:tc>
          <w:tcPr>
            <w:tcW w:w="2566" w:type="dxa"/>
            <w:tcBorders>
              <w:top w:val="single" w:color="000000" w:sz="0"/>
              <w:left w:val="single" w:color="000000" w:sz="0"/>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left"/>
              <w:rPr>
                <w:spacing w:val="0"/>
                <w:position w:val="0"/>
              </w:rPr>
            </w:pPr>
            <w:r>
              <w:rPr>
                <w:rFonts w:ascii="Times New Roman" w:hAnsi="Times New Roman" w:cs="Times New Roman" w:eastAsia="Times New Roman"/>
                <w:color w:val="000000"/>
                <w:spacing w:val="0"/>
                <w:position w:val="0"/>
                <w:sz w:val="28"/>
                <w:shd w:fill="auto" w:val="clear"/>
              </w:rPr>
              <w:t xml:space="preserve">Укрепление, совершенствование материально- технической базы. Формирование комплектов тренировочного процесса.</w:t>
            </w:r>
          </w:p>
        </w:tc>
      </w:tr>
    </w:tbl>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center"/>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Механизм реализации программы развития</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развития рассматривается и утверждается на заседании педагогического совета школы и вводится в действие приказом директора ДЮСШ. Срок действия Программы- 5 лет.</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реализуется в соответствии с планом и системой программы мероприятий с поэтапным и годовым планированием.</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Промежуточные итоги реализации Программы в целом и по направлениям ежегодно подводятся на итоговом педагогическом совете. Результаты реализации Программы по этапам публикуются на сайте школы.</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На заключительном этапе реализации Программы развития проводятся мониторинговые исследования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Проблемно-позиционный анализ деятельности школы</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результаты которых являются предпосылкой для разработки новой Программы.</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Постоянный контроль выполнения Программы осуществляет администрация МБУ ДОД ДЮСШ </w:t>
      </w:r>
      <w:r>
        <w:rPr>
          <w:rFonts w:ascii="Times New Roman" w:hAnsi="Times New Roman" w:cs="Times New Roman" w:eastAsia="Times New Roman"/>
          <w:color w:val="000000"/>
          <w:spacing w:val="0"/>
          <w:position w:val="0"/>
          <w:sz w:val="28"/>
          <w:shd w:fill="auto" w:val="clear"/>
        </w:rPr>
        <w:t xml:space="preserve">«</w:t>
      </w:r>
      <w:r>
        <w:rPr>
          <w:rFonts w:ascii="Times New Roman" w:hAnsi="Times New Roman" w:cs="Times New Roman" w:eastAsia="Times New Roman"/>
          <w:color w:val="000000"/>
          <w:spacing w:val="0"/>
          <w:position w:val="0"/>
          <w:sz w:val="28"/>
          <w:shd w:fill="auto" w:val="clear"/>
        </w:rPr>
        <w:t xml:space="preserve">Олимп</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с ежегодным обсуждением на итоговом педагогическом совете.</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Результаты поэтапного выполнения программы рассматриваются на заседаниях вышеперечисленных органов коллективного управления ДЮСШ.</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Программа является документом открытым для внесения изменений и дополнений. Корректировка</w:t>
      </w:r>
      <w:r>
        <w:rPr>
          <w:rFonts w:ascii="Times New Roman" w:hAnsi="Times New Roman" w:cs="Times New Roman" w:eastAsia="Times New Roman"/>
          <w:color w:val="000000"/>
          <w:spacing w:val="0"/>
          <w:position w:val="0"/>
          <w:sz w:val="28"/>
          <w:shd w:fill="auto" w:val="clear"/>
        </w:rPr>
        <w:t xml:space="preserve">  </w:t>
      </w:r>
      <w:r>
        <w:rPr>
          <w:rFonts w:ascii="Times New Roman" w:hAnsi="Times New Roman" w:cs="Times New Roman" w:eastAsia="Times New Roman"/>
          <w:color w:val="000000"/>
          <w:spacing w:val="0"/>
          <w:position w:val="0"/>
          <w:sz w:val="28"/>
          <w:shd w:fill="auto" w:val="clear"/>
        </w:rPr>
        <w:t xml:space="preserve">Программы осуществляется ежегодно в июле - августе. Предложения по корректировке Программы подаются администрацией и педагогическим коллективом спортивной школы ежегодно в мае, после обсуждения на заседаниях коллективных органов управления. Все изменения согласовываются с директором спортивной школы и утверждаются на педагогическом совете в начале нового учебного года.</w:t>
      </w:r>
    </w:p>
    <w:p>
      <w:pPr>
        <w:spacing w:before="0" w:after="0" w:line="240"/>
        <w:ind w:right="0" w:left="0" w:firstLine="0"/>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8"/>
          <w:shd w:fill="auto" w:val="clear"/>
        </w:rPr>
      </w:pPr>
      <w:r>
        <w:rPr>
          <w:rFonts w:ascii="Times New Roman" w:hAnsi="Times New Roman" w:cs="Times New Roman" w:eastAsia="Times New Roman"/>
          <w:color w:val="000000"/>
          <w:spacing w:val="0"/>
          <w:position w:val="0"/>
          <w:sz w:val="28"/>
          <w:shd w:fill="auto" w:val="clear"/>
        </w:rPr>
        <w:t xml:space="preserve">Выполнение программы обеспечивается за счёт бюджетного и внебюджетного финансирования.</w:t>
      </w:r>
      <w:r>
        <w:rPr>
          <w:rFonts w:ascii="Times New Roman" w:hAnsi="Times New Roman" w:cs="Times New Roman" w:eastAsia="Times New Roman"/>
          <w:color w:val="000000"/>
          <w:spacing w:val="0"/>
          <w:position w:val="0"/>
          <w:sz w:val="28"/>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p>
      <w:pPr>
        <w:spacing w:before="0" w:after="200" w:line="276"/>
        <w:ind w:right="0" w:left="0" w:firstLine="0"/>
        <w:jc w:val="left"/>
        <w:rPr>
          <w:rFonts w:ascii="Calibri" w:hAnsi="Calibri" w:cs="Calibri" w:eastAsia="Calibri"/>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